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DF0B4" w14:textId="77777777" w:rsidR="001A3493" w:rsidRPr="00B661AF" w:rsidRDefault="001A3493">
      <w:pPr>
        <w:spacing w:before="7"/>
        <w:rPr>
          <w:rFonts w:ascii="Times New Roman" w:eastAsia="Times New Roman" w:hAnsi="Times New Roman" w:cs="Times New Roman"/>
          <w:sz w:val="5"/>
          <w:szCs w:val="5"/>
        </w:rPr>
      </w:pPr>
    </w:p>
    <w:tbl>
      <w:tblPr>
        <w:tblW w:w="0" w:type="auto"/>
        <w:tblInd w:w="94" w:type="dxa"/>
        <w:tblLayout w:type="fixed"/>
        <w:tblCellMar>
          <w:left w:w="0" w:type="dxa"/>
          <w:right w:w="0" w:type="dxa"/>
        </w:tblCellMar>
        <w:tblLook w:val="01E0" w:firstRow="1" w:lastRow="1" w:firstColumn="1" w:lastColumn="1" w:noHBand="0" w:noVBand="0"/>
      </w:tblPr>
      <w:tblGrid>
        <w:gridCol w:w="2520"/>
        <w:gridCol w:w="6931"/>
      </w:tblGrid>
      <w:tr w:rsidR="00B661AF" w:rsidRPr="00060B93" w14:paraId="0D982674" w14:textId="77777777">
        <w:trPr>
          <w:trHeight w:hRule="exact" w:val="293"/>
        </w:trPr>
        <w:tc>
          <w:tcPr>
            <w:tcW w:w="2520" w:type="dxa"/>
            <w:tcBorders>
              <w:top w:val="single" w:sz="5" w:space="0" w:color="000000"/>
              <w:left w:val="single" w:sz="5" w:space="0" w:color="000000"/>
              <w:bottom w:val="single" w:sz="5" w:space="0" w:color="000000"/>
              <w:right w:val="single" w:sz="5" w:space="0" w:color="000000"/>
            </w:tcBorders>
          </w:tcPr>
          <w:p w14:paraId="2557E855" w14:textId="77777777" w:rsidR="001A3493" w:rsidRPr="00060B93" w:rsidRDefault="008D65C8">
            <w:pPr>
              <w:pStyle w:val="TableParagraph"/>
              <w:ind w:left="102"/>
              <w:rPr>
                <w:rFonts w:ascii="Times New Roman" w:eastAsia="Times New Roman" w:hAnsi="Times New Roman" w:cs="Times New Roman"/>
                <w:sz w:val="23"/>
                <w:szCs w:val="23"/>
              </w:rPr>
            </w:pPr>
            <w:bookmarkStart w:id="0" w:name="111.02_-_Conflict_of_Interest"/>
            <w:bookmarkEnd w:id="0"/>
            <w:r w:rsidRPr="00060B93">
              <w:rPr>
                <w:rFonts w:ascii="Times New Roman" w:hAnsi="Times New Roman" w:cs="Times New Roman"/>
                <w:spacing w:val="-3"/>
                <w:sz w:val="23"/>
                <w:szCs w:val="23"/>
              </w:rPr>
              <w:t>POLICY</w:t>
            </w:r>
            <w:r w:rsidRPr="00060B93">
              <w:rPr>
                <w:rFonts w:ascii="Times New Roman" w:hAnsi="Times New Roman" w:cs="Times New Roman"/>
                <w:spacing w:val="-1"/>
                <w:sz w:val="23"/>
                <w:szCs w:val="23"/>
              </w:rPr>
              <w:t xml:space="preserve"> NAME:</w:t>
            </w:r>
          </w:p>
        </w:tc>
        <w:tc>
          <w:tcPr>
            <w:tcW w:w="6931" w:type="dxa"/>
            <w:tcBorders>
              <w:top w:val="single" w:sz="5" w:space="0" w:color="000000"/>
              <w:left w:val="single" w:sz="5" w:space="0" w:color="000000"/>
              <w:bottom w:val="single" w:sz="5" w:space="0" w:color="000000"/>
              <w:right w:val="single" w:sz="5" w:space="0" w:color="000000"/>
            </w:tcBorders>
          </w:tcPr>
          <w:p w14:paraId="3878CE89" w14:textId="77777777" w:rsidR="001A3493" w:rsidRPr="00060B93" w:rsidRDefault="008D65C8">
            <w:pPr>
              <w:pStyle w:val="TableParagraph"/>
              <w:spacing w:before="5"/>
              <w:ind w:left="102"/>
              <w:rPr>
                <w:rFonts w:ascii="Times New Roman" w:eastAsia="Times New Roman" w:hAnsi="Times New Roman" w:cs="Times New Roman"/>
                <w:sz w:val="23"/>
                <w:szCs w:val="23"/>
              </w:rPr>
            </w:pPr>
            <w:r w:rsidRPr="00060B93">
              <w:rPr>
                <w:rFonts w:ascii="Times New Roman" w:hAnsi="Times New Roman" w:cs="Times New Roman"/>
                <w:b/>
                <w:sz w:val="23"/>
                <w:szCs w:val="23"/>
              </w:rPr>
              <w:t>111.02:</w:t>
            </w:r>
            <w:r w:rsidRPr="00060B93">
              <w:rPr>
                <w:rFonts w:ascii="Times New Roman" w:hAnsi="Times New Roman" w:cs="Times New Roman"/>
                <w:b/>
                <w:spacing w:val="59"/>
                <w:sz w:val="23"/>
                <w:szCs w:val="23"/>
              </w:rPr>
              <w:t xml:space="preserve"> </w:t>
            </w:r>
            <w:r w:rsidRPr="00060B93">
              <w:rPr>
                <w:rFonts w:ascii="Times New Roman" w:hAnsi="Times New Roman" w:cs="Times New Roman"/>
                <w:b/>
                <w:spacing w:val="-1"/>
                <w:sz w:val="23"/>
                <w:szCs w:val="23"/>
              </w:rPr>
              <w:t xml:space="preserve">Conflict </w:t>
            </w:r>
            <w:r w:rsidRPr="00060B93">
              <w:rPr>
                <w:rFonts w:ascii="Times New Roman" w:hAnsi="Times New Roman" w:cs="Times New Roman"/>
                <w:b/>
                <w:sz w:val="23"/>
                <w:szCs w:val="23"/>
              </w:rPr>
              <w:t>of</w:t>
            </w:r>
            <w:r w:rsidRPr="00060B93">
              <w:rPr>
                <w:rFonts w:ascii="Times New Roman" w:hAnsi="Times New Roman" w:cs="Times New Roman"/>
                <w:b/>
                <w:spacing w:val="1"/>
                <w:sz w:val="23"/>
                <w:szCs w:val="23"/>
              </w:rPr>
              <w:t xml:space="preserve"> </w:t>
            </w:r>
            <w:r w:rsidRPr="00060B93">
              <w:rPr>
                <w:rFonts w:ascii="Times New Roman" w:hAnsi="Times New Roman" w:cs="Times New Roman"/>
                <w:b/>
                <w:spacing w:val="-1"/>
                <w:sz w:val="23"/>
                <w:szCs w:val="23"/>
              </w:rPr>
              <w:t>Interest</w:t>
            </w:r>
          </w:p>
        </w:tc>
      </w:tr>
      <w:tr w:rsidR="00B661AF" w:rsidRPr="00060B93" w14:paraId="37E87337" w14:textId="77777777">
        <w:trPr>
          <w:trHeight w:hRule="exact" w:val="293"/>
        </w:trPr>
        <w:tc>
          <w:tcPr>
            <w:tcW w:w="2520" w:type="dxa"/>
            <w:tcBorders>
              <w:top w:val="single" w:sz="5" w:space="0" w:color="000000"/>
              <w:left w:val="single" w:sz="5" w:space="0" w:color="000000"/>
              <w:bottom w:val="single" w:sz="5" w:space="0" w:color="000000"/>
              <w:right w:val="single" w:sz="5" w:space="0" w:color="000000"/>
            </w:tcBorders>
          </w:tcPr>
          <w:p w14:paraId="2107EAF6" w14:textId="77777777" w:rsidR="001A3493" w:rsidRPr="00060B93" w:rsidRDefault="008D65C8">
            <w:pPr>
              <w:pStyle w:val="TableParagraph"/>
              <w:ind w:left="102"/>
              <w:rPr>
                <w:rFonts w:ascii="Times New Roman" w:eastAsia="Times New Roman" w:hAnsi="Times New Roman" w:cs="Times New Roman"/>
                <w:sz w:val="23"/>
                <w:szCs w:val="23"/>
              </w:rPr>
            </w:pPr>
            <w:r w:rsidRPr="00060B93">
              <w:rPr>
                <w:rFonts w:ascii="Times New Roman" w:hAnsi="Times New Roman" w:cs="Times New Roman"/>
                <w:spacing w:val="-2"/>
                <w:sz w:val="23"/>
                <w:szCs w:val="23"/>
              </w:rPr>
              <w:t>EFFECTIVE:</w:t>
            </w:r>
          </w:p>
        </w:tc>
        <w:tc>
          <w:tcPr>
            <w:tcW w:w="6931" w:type="dxa"/>
            <w:tcBorders>
              <w:top w:val="single" w:sz="5" w:space="0" w:color="000000"/>
              <w:left w:val="single" w:sz="5" w:space="0" w:color="000000"/>
              <w:bottom w:val="single" w:sz="5" w:space="0" w:color="000000"/>
              <w:right w:val="single" w:sz="5" w:space="0" w:color="000000"/>
            </w:tcBorders>
          </w:tcPr>
          <w:p w14:paraId="47CDA965" w14:textId="77777777" w:rsidR="001A3493" w:rsidRPr="00060B93" w:rsidRDefault="00925DA0" w:rsidP="00925DA0">
            <w:pPr>
              <w:pStyle w:val="TableParagraph"/>
              <w:ind w:left="102"/>
              <w:rPr>
                <w:rFonts w:ascii="Times New Roman" w:eastAsia="Times New Roman" w:hAnsi="Times New Roman" w:cs="Times New Roman"/>
                <w:sz w:val="23"/>
                <w:szCs w:val="23"/>
              </w:rPr>
            </w:pPr>
            <w:r w:rsidRPr="00060B93">
              <w:rPr>
                <w:rFonts w:ascii="Times New Roman" w:hAnsi="Times New Roman" w:cs="Times New Roman"/>
                <w:sz w:val="23"/>
                <w:szCs w:val="23"/>
              </w:rPr>
              <w:t>0</w:t>
            </w:r>
            <w:r>
              <w:rPr>
                <w:rFonts w:ascii="Times New Roman" w:hAnsi="Times New Roman" w:cs="Times New Roman"/>
                <w:sz w:val="23"/>
                <w:szCs w:val="23"/>
              </w:rPr>
              <w:t>5</w:t>
            </w:r>
            <w:r w:rsidR="00B3697D" w:rsidRPr="00060B93">
              <w:rPr>
                <w:rFonts w:ascii="Times New Roman" w:hAnsi="Times New Roman" w:cs="Times New Roman"/>
                <w:sz w:val="23"/>
                <w:szCs w:val="23"/>
              </w:rPr>
              <w:t>-</w:t>
            </w:r>
            <w:r w:rsidRPr="00060B93">
              <w:rPr>
                <w:rFonts w:ascii="Times New Roman" w:hAnsi="Times New Roman" w:cs="Times New Roman"/>
                <w:sz w:val="23"/>
                <w:szCs w:val="23"/>
              </w:rPr>
              <w:t>1</w:t>
            </w:r>
            <w:r>
              <w:rPr>
                <w:rFonts w:ascii="Times New Roman" w:hAnsi="Times New Roman" w:cs="Times New Roman"/>
                <w:sz w:val="23"/>
                <w:szCs w:val="23"/>
              </w:rPr>
              <w:t>0</w:t>
            </w:r>
            <w:r w:rsidR="00B3697D" w:rsidRPr="00060B93">
              <w:rPr>
                <w:rFonts w:ascii="Times New Roman" w:hAnsi="Times New Roman" w:cs="Times New Roman"/>
                <w:sz w:val="23"/>
                <w:szCs w:val="23"/>
              </w:rPr>
              <w:t>-</w:t>
            </w:r>
            <w:r>
              <w:rPr>
                <w:rFonts w:ascii="Times New Roman" w:hAnsi="Times New Roman" w:cs="Times New Roman"/>
                <w:sz w:val="23"/>
                <w:szCs w:val="23"/>
              </w:rPr>
              <w:t>20</w:t>
            </w:r>
            <w:r w:rsidRPr="00060B93">
              <w:rPr>
                <w:rFonts w:ascii="Times New Roman" w:hAnsi="Times New Roman" w:cs="Times New Roman"/>
                <w:sz w:val="23"/>
                <w:szCs w:val="23"/>
              </w:rPr>
              <w:t>1</w:t>
            </w:r>
            <w:r>
              <w:rPr>
                <w:rFonts w:ascii="Times New Roman" w:hAnsi="Times New Roman" w:cs="Times New Roman"/>
                <w:sz w:val="23"/>
                <w:szCs w:val="23"/>
              </w:rPr>
              <w:t>7</w:t>
            </w:r>
          </w:p>
        </w:tc>
      </w:tr>
      <w:tr w:rsidR="00B661AF" w:rsidRPr="00060B93" w14:paraId="475B532F" w14:textId="77777777">
        <w:trPr>
          <w:trHeight w:hRule="exact" w:val="293"/>
        </w:trPr>
        <w:tc>
          <w:tcPr>
            <w:tcW w:w="2520" w:type="dxa"/>
            <w:tcBorders>
              <w:top w:val="single" w:sz="5" w:space="0" w:color="000000"/>
              <w:left w:val="single" w:sz="5" w:space="0" w:color="000000"/>
              <w:bottom w:val="single" w:sz="5" w:space="0" w:color="000000"/>
              <w:right w:val="single" w:sz="5" w:space="0" w:color="000000"/>
            </w:tcBorders>
          </w:tcPr>
          <w:p w14:paraId="6B98D18E" w14:textId="77777777" w:rsidR="001A3493" w:rsidRPr="00060B93" w:rsidRDefault="008D65C8">
            <w:pPr>
              <w:pStyle w:val="TableParagraph"/>
              <w:ind w:left="102"/>
              <w:rPr>
                <w:rFonts w:ascii="Times New Roman" w:eastAsia="Times New Roman" w:hAnsi="Times New Roman" w:cs="Times New Roman"/>
                <w:sz w:val="23"/>
                <w:szCs w:val="23"/>
              </w:rPr>
            </w:pPr>
            <w:r w:rsidRPr="00060B93">
              <w:rPr>
                <w:rFonts w:ascii="Times New Roman" w:hAnsi="Times New Roman" w:cs="Times New Roman"/>
                <w:spacing w:val="-1"/>
                <w:sz w:val="23"/>
                <w:szCs w:val="23"/>
              </w:rPr>
              <w:t>SUPERSEDES:</w:t>
            </w:r>
          </w:p>
        </w:tc>
        <w:tc>
          <w:tcPr>
            <w:tcW w:w="6931" w:type="dxa"/>
            <w:tcBorders>
              <w:top w:val="single" w:sz="5" w:space="0" w:color="000000"/>
              <w:left w:val="single" w:sz="5" w:space="0" w:color="000000"/>
              <w:bottom w:val="single" w:sz="5" w:space="0" w:color="000000"/>
              <w:right w:val="single" w:sz="5" w:space="0" w:color="000000"/>
            </w:tcBorders>
          </w:tcPr>
          <w:p w14:paraId="60AC26DA" w14:textId="77777777" w:rsidR="001A3493" w:rsidRPr="00060B93" w:rsidRDefault="00925DA0">
            <w:pPr>
              <w:rPr>
                <w:rFonts w:ascii="Times New Roman" w:hAnsi="Times New Roman" w:cs="Times New Roman"/>
                <w:sz w:val="23"/>
                <w:szCs w:val="23"/>
              </w:rPr>
            </w:pPr>
            <w:r>
              <w:rPr>
                <w:rFonts w:ascii="Times New Roman" w:hAnsi="Times New Roman" w:cs="Times New Roman"/>
                <w:sz w:val="23"/>
                <w:szCs w:val="23"/>
              </w:rPr>
              <w:t xml:space="preserve">  </w:t>
            </w:r>
            <w:r w:rsidRPr="00060B93">
              <w:rPr>
                <w:rFonts w:ascii="Times New Roman" w:hAnsi="Times New Roman" w:cs="Times New Roman"/>
                <w:sz w:val="23"/>
                <w:szCs w:val="23"/>
              </w:rPr>
              <w:t>04-13-</w:t>
            </w:r>
            <w:r>
              <w:rPr>
                <w:rFonts w:ascii="Times New Roman" w:hAnsi="Times New Roman" w:cs="Times New Roman"/>
                <w:sz w:val="23"/>
                <w:szCs w:val="23"/>
              </w:rPr>
              <w:t>20</w:t>
            </w:r>
            <w:r w:rsidRPr="00060B93">
              <w:rPr>
                <w:rFonts w:ascii="Times New Roman" w:hAnsi="Times New Roman" w:cs="Times New Roman"/>
                <w:sz w:val="23"/>
                <w:szCs w:val="23"/>
              </w:rPr>
              <w:t>16</w:t>
            </w:r>
          </w:p>
        </w:tc>
      </w:tr>
      <w:tr w:rsidR="00B661AF" w:rsidRPr="00060B93" w14:paraId="76D8832E" w14:textId="77777777">
        <w:trPr>
          <w:trHeight w:hRule="exact" w:val="293"/>
        </w:trPr>
        <w:tc>
          <w:tcPr>
            <w:tcW w:w="2520" w:type="dxa"/>
            <w:tcBorders>
              <w:top w:val="single" w:sz="5" w:space="0" w:color="000000"/>
              <w:left w:val="single" w:sz="5" w:space="0" w:color="000000"/>
              <w:bottom w:val="single" w:sz="5" w:space="0" w:color="000000"/>
              <w:right w:val="single" w:sz="5" w:space="0" w:color="000000"/>
            </w:tcBorders>
          </w:tcPr>
          <w:p w14:paraId="159311B0" w14:textId="77777777" w:rsidR="001A3493" w:rsidRPr="00060B93" w:rsidRDefault="008D65C8">
            <w:pPr>
              <w:pStyle w:val="TableParagraph"/>
              <w:ind w:left="102"/>
              <w:rPr>
                <w:rFonts w:ascii="Times New Roman" w:eastAsia="Times New Roman" w:hAnsi="Times New Roman" w:cs="Times New Roman"/>
                <w:sz w:val="23"/>
                <w:szCs w:val="23"/>
              </w:rPr>
            </w:pPr>
            <w:r w:rsidRPr="00060B93">
              <w:rPr>
                <w:rFonts w:ascii="Times New Roman" w:hAnsi="Times New Roman" w:cs="Times New Roman"/>
                <w:spacing w:val="-1"/>
                <w:sz w:val="23"/>
                <w:szCs w:val="23"/>
              </w:rPr>
              <w:t>SOURCE:</w:t>
            </w:r>
          </w:p>
        </w:tc>
        <w:tc>
          <w:tcPr>
            <w:tcW w:w="6931" w:type="dxa"/>
            <w:tcBorders>
              <w:top w:val="single" w:sz="5" w:space="0" w:color="000000"/>
              <w:left w:val="single" w:sz="5" w:space="0" w:color="000000"/>
              <w:bottom w:val="single" w:sz="5" w:space="0" w:color="000000"/>
              <w:right w:val="single" w:sz="5" w:space="0" w:color="000000"/>
            </w:tcBorders>
          </w:tcPr>
          <w:p w14:paraId="461A37B9" w14:textId="77777777" w:rsidR="001A3493" w:rsidRPr="00060B93" w:rsidRDefault="008D65C8">
            <w:pPr>
              <w:pStyle w:val="TableParagraph"/>
              <w:ind w:left="102"/>
              <w:rPr>
                <w:rFonts w:ascii="Times New Roman" w:eastAsia="Times New Roman" w:hAnsi="Times New Roman" w:cs="Times New Roman"/>
                <w:sz w:val="23"/>
                <w:szCs w:val="23"/>
              </w:rPr>
            </w:pPr>
            <w:bookmarkStart w:id="1" w:name="_Hlk66093519"/>
            <w:r w:rsidRPr="00060B93">
              <w:rPr>
                <w:rFonts w:ascii="Times New Roman" w:hAnsi="Times New Roman" w:cs="Times New Roman"/>
                <w:spacing w:val="-1"/>
                <w:sz w:val="23"/>
                <w:szCs w:val="23"/>
              </w:rPr>
              <w:t>Board</w:t>
            </w:r>
            <w:r w:rsidRPr="00060B93">
              <w:rPr>
                <w:rFonts w:ascii="Times New Roman" w:hAnsi="Times New Roman" w:cs="Times New Roman"/>
                <w:sz w:val="23"/>
                <w:szCs w:val="23"/>
              </w:rPr>
              <w:t xml:space="preserve"> of</w:t>
            </w:r>
            <w:r w:rsidRPr="00060B93">
              <w:rPr>
                <w:rFonts w:ascii="Times New Roman" w:hAnsi="Times New Roman" w:cs="Times New Roman"/>
                <w:spacing w:val="-1"/>
                <w:sz w:val="23"/>
                <w:szCs w:val="23"/>
              </w:rPr>
              <w:t xml:space="preserve"> Trustee Resolution</w:t>
            </w:r>
            <w:r w:rsidRPr="00060B93">
              <w:rPr>
                <w:rFonts w:ascii="Times New Roman" w:hAnsi="Times New Roman" w:cs="Times New Roman"/>
                <w:sz w:val="23"/>
                <w:szCs w:val="23"/>
              </w:rPr>
              <w:t xml:space="preserve"> </w:t>
            </w:r>
            <w:r w:rsidRPr="00060B93">
              <w:rPr>
                <w:rFonts w:ascii="Times New Roman" w:hAnsi="Times New Roman" w:cs="Times New Roman"/>
                <w:spacing w:val="-1"/>
                <w:sz w:val="23"/>
                <w:szCs w:val="23"/>
              </w:rPr>
              <w:t>9-17-2015</w:t>
            </w:r>
            <w:bookmarkEnd w:id="1"/>
          </w:p>
        </w:tc>
      </w:tr>
      <w:tr w:rsidR="001A3493" w:rsidRPr="00060B93" w14:paraId="1D0ED462" w14:textId="77777777">
        <w:trPr>
          <w:trHeight w:hRule="exact" w:val="293"/>
        </w:trPr>
        <w:tc>
          <w:tcPr>
            <w:tcW w:w="2520" w:type="dxa"/>
            <w:tcBorders>
              <w:top w:val="single" w:sz="5" w:space="0" w:color="000000"/>
              <w:left w:val="single" w:sz="5" w:space="0" w:color="000000"/>
              <w:bottom w:val="single" w:sz="5" w:space="0" w:color="000000"/>
              <w:right w:val="single" w:sz="5" w:space="0" w:color="000000"/>
            </w:tcBorders>
          </w:tcPr>
          <w:p w14:paraId="6B2D66C8" w14:textId="77777777" w:rsidR="001A3493" w:rsidRPr="00060B93" w:rsidRDefault="008D65C8">
            <w:pPr>
              <w:pStyle w:val="TableParagraph"/>
              <w:ind w:left="102"/>
              <w:rPr>
                <w:rFonts w:ascii="Times New Roman" w:eastAsia="Times New Roman" w:hAnsi="Times New Roman" w:cs="Times New Roman"/>
                <w:sz w:val="23"/>
                <w:szCs w:val="23"/>
              </w:rPr>
            </w:pPr>
            <w:r w:rsidRPr="00060B93">
              <w:rPr>
                <w:rFonts w:ascii="Times New Roman" w:hAnsi="Times New Roman" w:cs="Times New Roman"/>
                <w:spacing w:val="-1"/>
                <w:sz w:val="23"/>
                <w:szCs w:val="23"/>
              </w:rPr>
              <w:t>CROSS</w:t>
            </w:r>
            <w:r w:rsidRPr="00060B93">
              <w:rPr>
                <w:rFonts w:ascii="Times New Roman" w:hAnsi="Times New Roman" w:cs="Times New Roman"/>
                <w:sz w:val="23"/>
                <w:szCs w:val="23"/>
              </w:rPr>
              <w:t xml:space="preserve"> </w:t>
            </w:r>
            <w:r w:rsidRPr="00060B93">
              <w:rPr>
                <w:rFonts w:ascii="Times New Roman" w:hAnsi="Times New Roman" w:cs="Times New Roman"/>
                <w:spacing w:val="-1"/>
                <w:sz w:val="23"/>
                <w:szCs w:val="23"/>
              </w:rPr>
              <w:t>REFERENCE:</w:t>
            </w:r>
          </w:p>
        </w:tc>
        <w:tc>
          <w:tcPr>
            <w:tcW w:w="6931" w:type="dxa"/>
            <w:tcBorders>
              <w:top w:val="single" w:sz="5" w:space="0" w:color="000000"/>
              <w:left w:val="single" w:sz="5" w:space="0" w:color="000000"/>
              <w:bottom w:val="single" w:sz="5" w:space="0" w:color="000000"/>
              <w:right w:val="single" w:sz="5" w:space="0" w:color="000000"/>
            </w:tcBorders>
          </w:tcPr>
          <w:p w14:paraId="47CCF639" w14:textId="77777777" w:rsidR="001A3493" w:rsidRPr="00060B93" w:rsidRDefault="001A3493">
            <w:pPr>
              <w:rPr>
                <w:rFonts w:ascii="Times New Roman" w:hAnsi="Times New Roman" w:cs="Times New Roman"/>
                <w:sz w:val="23"/>
                <w:szCs w:val="23"/>
              </w:rPr>
            </w:pPr>
          </w:p>
        </w:tc>
      </w:tr>
    </w:tbl>
    <w:p w14:paraId="5CF667C0" w14:textId="77777777" w:rsidR="001A3493" w:rsidRPr="00B661AF" w:rsidRDefault="001A3493">
      <w:pPr>
        <w:rPr>
          <w:rFonts w:ascii="Times New Roman" w:eastAsia="Times New Roman" w:hAnsi="Times New Roman" w:cs="Times New Roman"/>
          <w:sz w:val="20"/>
          <w:szCs w:val="20"/>
        </w:rPr>
      </w:pPr>
    </w:p>
    <w:p w14:paraId="73F71AC5" w14:textId="77777777" w:rsidR="001A3493" w:rsidRPr="00B661AF" w:rsidRDefault="001A3493">
      <w:pPr>
        <w:spacing w:before="9"/>
        <w:rPr>
          <w:rFonts w:ascii="Times New Roman" w:eastAsia="Times New Roman" w:hAnsi="Times New Roman" w:cs="Times New Roman"/>
        </w:rPr>
      </w:pPr>
    </w:p>
    <w:p w14:paraId="69CAF897" w14:textId="77777777" w:rsidR="001A3493" w:rsidRPr="00B661AF" w:rsidRDefault="008D65C8">
      <w:pPr>
        <w:pStyle w:val="BodyText"/>
        <w:spacing w:before="69" w:line="246" w:lineRule="auto"/>
        <w:ind w:left="100" w:right="194"/>
        <w:jc w:val="both"/>
        <w:rPr>
          <w:spacing w:val="-1"/>
        </w:rPr>
      </w:pPr>
      <w:r w:rsidRPr="00B661AF">
        <w:rPr>
          <w:spacing w:val="-1"/>
        </w:rPr>
        <w:t>The</w:t>
      </w:r>
      <w:r w:rsidRPr="00B661AF">
        <w:rPr>
          <w:spacing w:val="-9"/>
        </w:rPr>
        <w:t xml:space="preserve"> </w:t>
      </w:r>
      <w:r w:rsidRPr="00B661AF">
        <w:rPr>
          <w:spacing w:val="-1"/>
        </w:rPr>
        <w:t>standard</w:t>
      </w:r>
      <w:r w:rsidRPr="00B661AF">
        <w:rPr>
          <w:spacing w:val="-8"/>
        </w:rPr>
        <w:t xml:space="preserve"> </w:t>
      </w:r>
      <w:r w:rsidRPr="00B661AF">
        <w:t>of</w:t>
      </w:r>
      <w:r w:rsidRPr="00B661AF">
        <w:rPr>
          <w:spacing w:val="-8"/>
        </w:rPr>
        <w:t xml:space="preserve"> </w:t>
      </w:r>
      <w:r w:rsidRPr="00B661AF">
        <w:rPr>
          <w:spacing w:val="-1"/>
        </w:rPr>
        <w:t>behavior</w:t>
      </w:r>
      <w:r w:rsidRPr="00B661AF">
        <w:rPr>
          <w:spacing w:val="-8"/>
        </w:rPr>
        <w:t xml:space="preserve"> </w:t>
      </w:r>
      <w:r w:rsidRPr="00B661AF">
        <w:rPr>
          <w:spacing w:val="-1"/>
        </w:rPr>
        <w:t>for</w:t>
      </w:r>
      <w:r w:rsidRPr="00B661AF">
        <w:rPr>
          <w:spacing w:val="-8"/>
        </w:rPr>
        <w:t xml:space="preserve"> </w:t>
      </w:r>
      <w:r w:rsidRPr="00B661AF">
        <w:t>the</w:t>
      </w:r>
      <w:r w:rsidRPr="00B661AF">
        <w:rPr>
          <w:spacing w:val="-9"/>
        </w:rPr>
        <w:t xml:space="preserve"> </w:t>
      </w:r>
      <w:r w:rsidRPr="00B661AF">
        <w:rPr>
          <w:spacing w:val="-1"/>
        </w:rPr>
        <w:t>Alabama</w:t>
      </w:r>
      <w:r w:rsidRPr="00B661AF">
        <w:rPr>
          <w:spacing w:val="-9"/>
        </w:rPr>
        <w:t xml:space="preserve"> </w:t>
      </w:r>
      <w:r w:rsidRPr="00B661AF">
        <w:t>Community</w:t>
      </w:r>
      <w:r w:rsidRPr="00B661AF">
        <w:rPr>
          <w:spacing w:val="-15"/>
        </w:rPr>
        <w:t xml:space="preserve"> </w:t>
      </w:r>
      <w:r w:rsidRPr="00B661AF">
        <w:rPr>
          <w:spacing w:val="-1"/>
        </w:rPr>
        <w:t>College</w:t>
      </w:r>
      <w:r w:rsidRPr="00B661AF">
        <w:rPr>
          <w:spacing w:val="-9"/>
        </w:rPr>
        <w:t xml:space="preserve"> </w:t>
      </w:r>
      <w:r w:rsidRPr="00B661AF">
        <w:rPr>
          <w:spacing w:val="-2"/>
        </w:rPr>
        <w:t>System</w:t>
      </w:r>
      <w:r w:rsidRPr="00B661AF">
        <w:rPr>
          <w:spacing w:val="-7"/>
        </w:rPr>
        <w:t xml:space="preserve"> </w:t>
      </w:r>
      <w:r w:rsidRPr="00B661AF">
        <w:rPr>
          <w:spacing w:val="-1"/>
        </w:rPr>
        <w:t>and</w:t>
      </w:r>
      <w:r w:rsidRPr="00B661AF">
        <w:rPr>
          <w:spacing w:val="-8"/>
        </w:rPr>
        <w:t xml:space="preserve"> </w:t>
      </w:r>
      <w:r w:rsidRPr="00B661AF">
        <w:t>its</w:t>
      </w:r>
      <w:r w:rsidRPr="00B661AF">
        <w:rPr>
          <w:spacing w:val="-7"/>
        </w:rPr>
        <w:t xml:space="preserve"> </w:t>
      </w:r>
      <w:r w:rsidRPr="00B661AF">
        <w:rPr>
          <w:spacing w:val="-1"/>
        </w:rPr>
        <w:t>Board</w:t>
      </w:r>
      <w:r w:rsidRPr="00B661AF">
        <w:rPr>
          <w:spacing w:val="-8"/>
        </w:rPr>
        <w:t xml:space="preserve"> </w:t>
      </w:r>
      <w:r w:rsidRPr="00B661AF">
        <w:t>of</w:t>
      </w:r>
      <w:r w:rsidRPr="00B661AF">
        <w:rPr>
          <w:spacing w:val="-8"/>
        </w:rPr>
        <w:t xml:space="preserve"> </w:t>
      </w:r>
      <w:r w:rsidRPr="00B661AF">
        <w:rPr>
          <w:spacing w:val="-1"/>
        </w:rPr>
        <w:t>Trustees</w:t>
      </w:r>
      <w:r w:rsidRPr="00B661AF">
        <w:rPr>
          <w:spacing w:val="-10"/>
        </w:rPr>
        <w:t xml:space="preserve"> </w:t>
      </w:r>
      <w:r w:rsidRPr="00B661AF">
        <w:t>is</w:t>
      </w:r>
      <w:r w:rsidRPr="00B661AF">
        <w:rPr>
          <w:spacing w:val="65"/>
        </w:rPr>
        <w:t xml:space="preserve"> </w:t>
      </w:r>
      <w:r w:rsidRPr="00B661AF">
        <w:rPr>
          <w:spacing w:val="-1"/>
        </w:rPr>
        <w:t>that</w:t>
      </w:r>
      <w:r w:rsidRPr="00B661AF">
        <w:rPr>
          <w:spacing w:val="-14"/>
        </w:rPr>
        <w:t xml:space="preserve"> </w:t>
      </w:r>
      <w:r w:rsidRPr="00B661AF">
        <w:rPr>
          <w:spacing w:val="-1"/>
        </w:rPr>
        <w:t>all</w:t>
      </w:r>
      <w:r w:rsidRPr="00B661AF">
        <w:rPr>
          <w:spacing w:val="-14"/>
        </w:rPr>
        <w:t xml:space="preserve"> </w:t>
      </w:r>
      <w:r w:rsidRPr="00B661AF">
        <w:rPr>
          <w:spacing w:val="-1"/>
        </w:rPr>
        <w:t>Board</w:t>
      </w:r>
      <w:r w:rsidRPr="00B661AF">
        <w:rPr>
          <w:spacing w:val="-15"/>
        </w:rPr>
        <w:t xml:space="preserve"> </w:t>
      </w:r>
      <w:r w:rsidRPr="00B661AF">
        <w:rPr>
          <w:spacing w:val="-1"/>
        </w:rPr>
        <w:t>members</w:t>
      </w:r>
      <w:r w:rsidRPr="00B661AF">
        <w:rPr>
          <w:spacing w:val="-15"/>
        </w:rPr>
        <w:t xml:space="preserve"> </w:t>
      </w:r>
      <w:r w:rsidRPr="00B661AF">
        <w:rPr>
          <w:spacing w:val="-1"/>
        </w:rPr>
        <w:t>scrupulously</w:t>
      </w:r>
      <w:r w:rsidRPr="00B661AF">
        <w:rPr>
          <w:spacing w:val="-22"/>
        </w:rPr>
        <w:t xml:space="preserve"> </w:t>
      </w:r>
      <w:r w:rsidRPr="00B661AF">
        <w:rPr>
          <w:spacing w:val="-1"/>
        </w:rPr>
        <w:t>avoid</w:t>
      </w:r>
      <w:r w:rsidRPr="00B661AF">
        <w:rPr>
          <w:spacing w:val="-15"/>
        </w:rPr>
        <w:t xml:space="preserve"> </w:t>
      </w:r>
      <w:r w:rsidRPr="00B661AF">
        <w:rPr>
          <w:spacing w:val="-1"/>
        </w:rPr>
        <w:t>conflicts</w:t>
      </w:r>
      <w:r w:rsidRPr="00B661AF">
        <w:rPr>
          <w:spacing w:val="-15"/>
        </w:rPr>
        <w:t xml:space="preserve"> </w:t>
      </w:r>
      <w:r w:rsidRPr="00B661AF">
        <w:t>of</w:t>
      </w:r>
      <w:r w:rsidRPr="00B661AF">
        <w:rPr>
          <w:spacing w:val="-16"/>
        </w:rPr>
        <w:t xml:space="preserve"> </w:t>
      </w:r>
      <w:r w:rsidRPr="00B661AF">
        <w:rPr>
          <w:spacing w:val="-1"/>
        </w:rPr>
        <w:t>interest</w:t>
      </w:r>
      <w:r w:rsidRPr="00B661AF">
        <w:rPr>
          <w:spacing w:val="-14"/>
        </w:rPr>
        <w:t xml:space="preserve"> </w:t>
      </w:r>
      <w:r w:rsidRPr="00B661AF">
        <w:rPr>
          <w:spacing w:val="-1"/>
        </w:rPr>
        <w:t>between</w:t>
      </w:r>
      <w:r w:rsidRPr="00B661AF">
        <w:rPr>
          <w:spacing w:val="-15"/>
        </w:rPr>
        <w:t xml:space="preserve"> </w:t>
      </w:r>
      <w:r w:rsidRPr="00B661AF">
        <w:rPr>
          <w:spacing w:val="-2"/>
        </w:rPr>
        <w:t>the</w:t>
      </w:r>
      <w:r w:rsidRPr="00B661AF">
        <w:rPr>
          <w:spacing w:val="-21"/>
        </w:rPr>
        <w:t xml:space="preserve"> </w:t>
      </w:r>
      <w:r w:rsidRPr="00B661AF">
        <w:rPr>
          <w:spacing w:val="-3"/>
        </w:rPr>
        <w:t>interests</w:t>
      </w:r>
      <w:r w:rsidRPr="00B661AF">
        <w:rPr>
          <w:spacing w:val="-19"/>
        </w:rPr>
        <w:t xml:space="preserve"> </w:t>
      </w:r>
      <w:r w:rsidRPr="00B661AF">
        <w:rPr>
          <w:spacing w:val="-2"/>
        </w:rPr>
        <w:t>of</w:t>
      </w:r>
      <w:r w:rsidRPr="00B661AF">
        <w:rPr>
          <w:spacing w:val="-20"/>
        </w:rPr>
        <w:t xml:space="preserve"> </w:t>
      </w:r>
      <w:r w:rsidRPr="00B661AF">
        <w:rPr>
          <w:spacing w:val="-2"/>
        </w:rPr>
        <w:t>the</w:t>
      </w:r>
      <w:r w:rsidRPr="00B661AF">
        <w:rPr>
          <w:spacing w:val="-21"/>
        </w:rPr>
        <w:t xml:space="preserve"> </w:t>
      </w:r>
      <w:r w:rsidRPr="00B661AF">
        <w:rPr>
          <w:spacing w:val="-3"/>
        </w:rPr>
        <w:t>Alabama</w:t>
      </w:r>
      <w:r w:rsidRPr="00B661AF">
        <w:rPr>
          <w:spacing w:val="95"/>
        </w:rPr>
        <w:t xml:space="preserve"> </w:t>
      </w:r>
      <w:r w:rsidRPr="00B661AF">
        <w:t>Community</w:t>
      </w:r>
      <w:r w:rsidRPr="00B661AF">
        <w:rPr>
          <w:spacing w:val="-10"/>
        </w:rPr>
        <w:t xml:space="preserve"> </w:t>
      </w:r>
      <w:r w:rsidRPr="00B661AF">
        <w:rPr>
          <w:spacing w:val="-1"/>
        </w:rPr>
        <w:t>College</w:t>
      </w:r>
      <w:r w:rsidRPr="00B661AF">
        <w:rPr>
          <w:spacing w:val="-4"/>
        </w:rPr>
        <w:t xml:space="preserve"> </w:t>
      </w:r>
      <w:r w:rsidRPr="00B661AF">
        <w:rPr>
          <w:spacing w:val="-2"/>
        </w:rPr>
        <w:t>System</w:t>
      </w:r>
      <w:r w:rsidRPr="00B661AF">
        <w:rPr>
          <w:spacing w:val="-5"/>
        </w:rPr>
        <w:t xml:space="preserve"> </w:t>
      </w:r>
      <w:r w:rsidRPr="00B661AF">
        <w:t>on</w:t>
      </w:r>
      <w:r w:rsidRPr="00B661AF">
        <w:rPr>
          <w:spacing w:val="-5"/>
        </w:rPr>
        <w:t xml:space="preserve"> </w:t>
      </w:r>
      <w:r w:rsidRPr="00B661AF">
        <w:t>one</w:t>
      </w:r>
      <w:r w:rsidRPr="00B661AF">
        <w:rPr>
          <w:spacing w:val="-6"/>
        </w:rPr>
        <w:t xml:space="preserve"> </w:t>
      </w:r>
      <w:r w:rsidRPr="00B661AF">
        <w:rPr>
          <w:spacing w:val="-1"/>
        </w:rPr>
        <w:t>hand,</w:t>
      </w:r>
      <w:r w:rsidRPr="00B661AF">
        <w:rPr>
          <w:spacing w:val="-5"/>
        </w:rPr>
        <w:t xml:space="preserve"> </w:t>
      </w:r>
      <w:r w:rsidRPr="00B661AF">
        <w:rPr>
          <w:spacing w:val="-1"/>
        </w:rPr>
        <w:t>and</w:t>
      </w:r>
      <w:r w:rsidRPr="00B661AF">
        <w:rPr>
          <w:spacing w:val="-5"/>
        </w:rPr>
        <w:t xml:space="preserve"> </w:t>
      </w:r>
      <w:r w:rsidRPr="00B661AF">
        <w:rPr>
          <w:spacing w:val="-1"/>
        </w:rPr>
        <w:t>personal,</w:t>
      </w:r>
      <w:r w:rsidRPr="00B661AF">
        <w:rPr>
          <w:spacing w:val="-5"/>
        </w:rPr>
        <w:t xml:space="preserve"> </w:t>
      </w:r>
      <w:r w:rsidRPr="00B661AF">
        <w:rPr>
          <w:spacing w:val="-1"/>
        </w:rPr>
        <w:t>professional,</w:t>
      </w:r>
      <w:r w:rsidRPr="00B661AF">
        <w:rPr>
          <w:spacing w:val="-5"/>
        </w:rPr>
        <w:t xml:space="preserve"> </w:t>
      </w:r>
      <w:r w:rsidRPr="00B661AF">
        <w:rPr>
          <w:spacing w:val="-1"/>
        </w:rPr>
        <w:t>and</w:t>
      </w:r>
      <w:r w:rsidRPr="00B661AF">
        <w:rPr>
          <w:spacing w:val="-5"/>
        </w:rPr>
        <w:t xml:space="preserve"> </w:t>
      </w:r>
      <w:r w:rsidRPr="00B661AF">
        <w:rPr>
          <w:spacing w:val="-1"/>
        </w:rPr>
        <w:t>business</w:t>
      </w:r>
      <w:r w:rsidRPr="00B661AF">
        <w:rPr>
          <w:spacing w:val="-5"/>
        </w:rPr>
        <w:t xml:space="preserve"> </w:t>
      </w:r>
      <w:r w:rsidRPr="00B661AF">
        <w:rPr>
          <w:spacing w:val="-1"/>
        </w:rPr>
        <w:t>interests</w:t>
      </w:r>
      <w:r w:rsidRPr="00B661AF">
        <w:rPr>
          <w:spacing w:val="-5"/>
        </w:rPr>
        <w:t xml:space="preserve"> </w:t>
      </w:r>
      <w:r w:rsidRPr="00B661AF">
        <w:t>on</w:t>
      </w:r>
      <w:r w:rsidRPr="00B661AF">
        <w:rPr>
          <w:spacing w:val="-5"/>
        </w:rPr>
        <w:t xml:space="preserve"> </w:t>
      </w:r>
      <w:r w:rsidRPr="00B661AF">
        <w:t>the</w:t>
      </w:r>
      <w:r w:rsidRPr="00B661AF">
        <w:rPr>
          <w:spacing w:val="85"/>
        </w:rPr>
        <w:t xml:space="preserve"> </w:t>
      </w:r>
      <w:r w:rsidRPr="00B661AF">
        <w:rPr>
          <w:spacing w:val="-1"/>
        </w:rPr>
        <w:t>other.</w:t>
      </w:r>
      <w:r w:rsidRPr="00B661AF">
        <w:rPr>
          <w:spacing w:val="26"/>
        </w:rPr>
        <w:t xml:space="preserve"> </w:t>
      </w:r>
      <w:r w:rsidRPr="00B661AF">
        <w:rPr>
          <w:spacing w:val="-1"/>
        </w:rPr>
        <w:t>This</w:t>
      </w:r>
      <w:r w:rsidRPr="00B661AF">
        <w:rPr>
          <w:spacing w:val="12"/>
        </w:rPr>
        <w:t xml:space="preserve"> </w:t>
      </w:r>
      <w:r w:rsidRPr="00B661AF">
        <w:rPr>
          <w:spacing w:val="-1"/>
        </w:rPr>
        <w:t>includes</w:t>
      </w:r>
      <w:r w:rsidRPr="00B661AF">
        <w:rPr>
          <w:spacing w:val="12"/>
        </w:rPr>
        <w:t xml:space="preserve"> </w:t>
      </w:r>
      <w:r w:rsidRPr="00B661AF">
        <w:rPr>
          <w:spacing w:val="-1"/>
        </w:rPr>
        <w:t>avoiding</w:t>
      </w:r>
      <w:r w:rsidRPr="00B661AF">
        <w:rPr>
          <w:spacing w:val="9"/>
        </w:rPr>
        <w:t xml:space="preserve"> </w:t>
      </w:r>
      <w:r w:rsidRPr="00B661AF">
        <w:rPr>
          <w:spacing w:val="-1"/>
        </w:rPr>
        <w:t>potential</w:t>
      </w:r>
      <w:r w:rsidRPr="00B661AF">
        <w:rPr>
          <w:spacing w:val="12"/>
        </w:rPr>
        <w:t xml:space="preserve"> </w:t>
      </w:r>
      <w:r w:rsidRPr="00B661AF">
        <w:rPr>
          <w:spacing w:val="-1"/>
        </w:rPr>
        <w:t>and</w:t>
      </w:r>
      <w:r w:rsidRPr="00B661AF">
        <w:rPr>
          <w:spacing w:val="12"/>
        </w:rPr>
        <w:t xml:space="preserve"> </w:t>
      </w:r>
      <w:r w:rsidRPr="00B661AF">
        <w:rPr>
          <w:spacing w:val="-1"/>
        </w:rPr>
        <w:t>actual</w:t>
      </w:r>
      <w:r w:rsidRPr="00B661AF">
        <w:rPr>
          <w:spacing w:val="12"/>
        </w:rPr>
        <w:t xml:space="preserve"> </w:t>
      </w:r>
      <w:r w:rsidRPr="00B661AF">
        <w:rPr>
          <w:spacing w:val="-1"/>
        </w:rPr>
        <w:t>conflicts</w:t>
      </w:r>
      <w:r w:rsidRPr="00B661AF">
        <w:rPr>
          <w:spacing w:val="12"/>
        </w:rPr>
        <w:t xml:space="preserve"> </w:t>
      </w:r>
      <w:r w:rsidRPr="00B661AF">
        <w:t>of</w:t>
      </w:r>
      <w:r w:rsidRPr="00B661AF">
        <w:rPr>
          <w:spacing w:val="11"/>
        </w:rPr>
        <w:t xml:space="preserve"> </w:t>
      </w:r>
      <w:r w:rsidRPr="00B661AF">
        <w:rPr>
          <w:spacing w:val="-1"/>
        </w:rPr>
        <w:t>interest,</w:t>
      </w:r>
      <w:r w:rsidRPr="00B661AF">
        <w:rPr>
          <w:spacing w:val="12"/>
        </w:rPr>
        <w:t xml:space="preserve"> </w:t>
      </w:r>
      <w:r w:rsidRPr="00B661AF">
        <w:rPr>
          <w:spacing w:val="-1"/>
        </w:rPr>
        <w:t>as</w:t>
      </w:r>
      <w:r w:rsidRPr="00B661AF">
        <w:rPr>
          <w:spacing w:val="12"/>
        </w:rPr>
        <w:t xml:space="preserve"> </w:t>
      </w:r>
      <w:r w:rsidRPr="00B661AF">
        <w:rPr>
          <w:spacing w:val="-1"/>
        </w:rPr>
        <w:t>well</w:t>
      </w:r>
      <w:r w:rsidRPr="00B661AF">
        <w:rPr>
          <w:spacing w:val="12"/>
        </w:rPr>
        <w:t xml:space="preserve"> </w:t>
      </w:r>
      <w:r w:rsidRPr="00B661AF">
        <w:rPr>
          <w:spacing w:val="-1"/>
        </w:rPr>
        <w:t>as</w:t>
      </w:r>
      <w:r w:rsidRPr="00B661AF">
        <w:rPr>
          <w:spacing w:val="12"/>
        </w:rPr>
        <w:t xml:space="preserve"> </w:t>
      </w:r>
      <w:r w:rsidRPr="00B661AF">
        <w:rPr>
          <w:spacing w:val="-1"/>
        </w:rPr>
        <w:t>perceptions</w:t>
      </w:r>
      <w:r w:rsidRPr="00B661AF">
        <w:rPr>
          <w:spacing w:val="12"/>
        </w:rPr>
        <w:t xml:space="preserve"> </w:t>
      </w:r>
      <w:r w:rsidRPr="00B661AF">
        <w:t>of</w:t>
      </w:r>
      <w:r w:rsidRPr="00B661AF">
        <w:rPr>
          <w:spacing w:val="111"/>
        </w:rPr>
        <w:t xml:space="preserve"> </w:t>
      </w:r>
      <w:r w:rsidRPr="00B661AF">
        <w:rPr>
          <w:spacing w:val="-1"/>
        </w:rPr>
        <w:t>conflicts</w:t>
      </w:r>
      <w:r w:rsidRPr="00B661AF">
        <w:t xml:space="preserve"> of</w:t>
      </w:r>
      <w:r w:rsidRPr="00B661AF">
        <w:rPr>
          <w:spacing w:val="-1"/>
        </w:rPr>
        <w:t xml:space="preserve"> interest.</w:t>
      </w:r>
    </w:p>
    <w:p w14:paraId="2AAFB0F8" w14:textId="77777777" w:rsidR="0082395A" w:rsidRDefault="0082395A">
      <w:pPr>
        <w:pStyle w:val="BodyText"/>
        <w:spacing w:before="69" w:line="246" w:lineRule="auto"/>
        <w:ind w:left="100" w:right="194"/>
        <w:jc w:val="both"/>
        <w:rPr>
          <w:spacing w:val="-1"/>
        </w:rPr>
      </w:pPr>
    </w:p>
    <w:p w14:paraId="3124D417" w14:textId="4522CDC5" w:rsidR="008927E9" w:rsidRPr="008927E9" w:rsidRDefault="008927E9" w:rsidP="005F790D">
      <w:pPr>
        <w:pStyle w:val="BodyText"/>
        <w:spacing w:before="69" w:line="246" w:lineRule="auto"/>
        <w:ind w:left="100" w:right="194"/>
        <w:jc w:val="both"/>
        <w:rPr>
          <w:spacing w:val="-1"/>
        </w:rPr>
      </w:pPr>
      <w:r w:rsidRPr="008927E9">
        <w:rPr>
          <w:spacing w:val="-1"/>
        </w:rPr>
        <w:t xml:space="preserve">The Alabama Community College System Board of Trustees </w:t>
      </w:r>
      <w:r>
        <w:rPr>
          <w:spacing w:val="-1"/>
        </w:rPr>
        <w:t xml:space="preserve">shall be </w:t>
      </w:r>
      <w:r w:rsidRPr="008927E9">
        <w:rPr>
          <w:spacing w:val="-1"/>
        </w:rPr>
        <w:t xml:space="preserve">free from influence from political, religious, or other external bodies and protect its institutions from such influence in a number of ways, including the individual power and autonomous authority of the Board as provided by law at </w:t>
      </w:r>
      <w:hyperlink r:id="rId5" w:history="1">
        <w:r w:rsidRPr="00730D7B">
          <w:rPr>
            <w:rStyle w:val="Hyperlink"/>
            <w:i/>
            <w:iCs/>
            <w:spacing w:val="-1"/>
          </w:rPr>
          <w:t>Alabama Code</w:t>
        </w:r>
        <w:r w:rsidRPr="005138FB">
          <w:rPr>
            <w:rStyle w:val="Hyperlink"/>
            <w:spacing w:val="-1"/>
          </w:rPr>
          <w:t xml:space="preserve"> § 16-60-111</w:t>
        </w:r>
      </w:hyperlink>
      <w:r w:rsidRPr="008927E9">
        <w:rPr>
          <w:spacing w:val="-1"/>
        </w:rPr>
        <w:t>; the fact that each Trustee is governed by Alabama’s Ethics laws as a “public official”; the policies and procedures of the Board; and the applicability of the Alabama Open Meetings Act, among others.  In addition to the foregoing, the Board of Trustees has adopted this Policy on External Influence to further ensure that the Board and its institutions are free from influence from political, religious, or other external bodies.</w:t>
      </w:r>
    </w:p>
    <w:p w14:paraId="6CE94075" w14:textId="77777777" w:rsidR="008927E9" w:rsidRPr="008927E9" w:rsidRDefault="008927E9" w:rsidP="005F790D">
      <w:pPr>
        <w:pStyle w:val="BodyText"/>
        <w:spacing w:before="69" w:line="246" w:lineRule="auto"/>
        <w:ind w:left="100" w:right="194"/>
        <w:jc w:val="both"/>
        <w:rPr>
          <w:spacing w:val="-1"/>
        </w:rPr>
      </w:pPr>
    </w:p>
    <w:p w14:paraId="4B5ABAFE" w14:textId="77777777" w:rsidR="008927E9" w:rsidRPr="008927E9" w:rsidRDefault="008927E9" w:rsidP="005F790D">
      <w:pPr>
        <w:pStyle w:val="BodyText"/>
        <w:spacing w:before="69" w:line="246" w:lineRule="auto"/>
        <w:ind w:left="100" w:right="194"/>
        <w:jc w:val="both"/>
        <w:rPr>
          <w:spacing w:val="-1"/>
        </w:rPr>
      </w:pPr>
      <w:r w:rsidRPr="008927E9">
        <w:rPr>
          <w:spacing w:val="-1"/>
        </w:rPr>
        <w:t xml:space="preserve">If any Trustee shall reasonably believe political, religious, or other external bodies are or are attempting to influence that Trustee or other Trustees, such Trustee may notify in writing the </w:t>
      </w:r>
      <w:r w:rsidR="006945FA">
        <w:rPr>
          <w:spacing w:val="-1"/>
        </w:rPr>
        <w:t>Chairman</w:t>
      </w:r>
      <w:r w:rsidRPr="008927E9">
        <w:rPr>
          <w:spacing w:val="-1"/>
        </w:rPr>
        <w:t xml:space="preserve"> of the Board of Trustees of such conduct stating specifically the basis for such belief.  If the conduct involves the </w:t>
      </w:r>
      <w:r w:rsidR="006945FA">
        <w:rPr>
          <w:spacing w:val="-1"/>
        </w:rPr>
        <w:t>Chairman</w:t>
      </w:r>
      <w:r w:rsidRPr="008927E9">
        <w:rPr>
          <w:spacing w:val="-1"/>
        </w:rPr>
        <w:t xml:space="preserve"> of the Board of Trustees, then the Trustee may notify the Vice </w:t>
      </w:r>
      <w:r w:rsidR="006945FA">
        <w:rPr>
          <w:spacing w:val="-1"/>
        </w:rPr>
        <w:t>Chairman</w:t>
      </w:r>
      <w:r w:rsidRPr="008927E9">
        <w:rPr>
          <w:spacing w:val="-1"/>
        </w:rPr>
        <w:t xml:space="preserve"> of the Board.  If the alleged conduct involves both the </w:t>
      </w:r>
      <w:r w:rsidR="006945FA">
        <w:rPr>
          <w:spacing w:val="-1"/>
        </w:rPr>
        <w:t>Chairman</w:t>
      </w:r>
      <w:r w:rsidRPr="008927E9">
        <w:rPr>
          <w:spacing w:val="-1"/>
        </w:rPr>
        <w:t xml:space="preserve"> and Vice </w:t>
      </w:r>
      <w:r w:rsidR="006945FA">
        <w:rPr>
          <w:spacing w:val="-1"/>
        </w:rPr>
        <w:t>Chairman</w:t>
      </w:r>
      <w:r w:rsidRPr="008927E9">
        <w:rPr>
          <w:spacing w:val="-1"/>
        </w:rPr>
        <w:t xml:space="preserve">, then the Trustee may notify any other officer of the Board of Trustees.  The Trustee recipient of such notice shall appoint three (3) other trustees who shall seek to determine whether such conduct has or is occurring and who shall report the allegations and the results of their investigation to the Trustees involved and then to the full Board of Trustees, if such conduct continues.  </w:t>
      </w:r>
    </w:p>
    <w:p w14:paraId="72C49117" w14:textId="77777777" w:rsidR="008927E9" w:rsidRPr="008927E9" w:rsidRDefault="008927E9" w:rsidP="005F790D">
      <w:pPr>
        <w:pStyle w:val="BodyText"/>
        <w:spacing w:before="69" w:line="246" w:lineRule="auto"/>
        <w:ind w:left="100" w:right="194"/>
        <w:jc w:val="both"/>
        <w:rPr>
          <w:spacing w:val="-1"/>
        </w:rPr>
      </w:pPr>
    </w:p>
    <w:p w14:paraId="79FF11FE" w14:textId="77777777" w:rsidR="008927E9" w:rsidRPr="008927E9" w:rsidRDefault="008927E9" w:rsidP="005F790D">
      <w:pPr>
        <w:pStyle w:val="BodyText"/>
        <w:spacing w:before="69" w:line="246" w:lineRule="auto"/>
        <w:ind w:left="100" w:right="194"/>
        <w:jc w:val="both"/>
        <w:rPr>
          <w:spacing w:val="-1"/>
        </w:rPr>
      </w:pPr>
      <w:r w:rsidRPr="008927E9">
        <w:rPr>
          <w:spacing w:val="-1"/>
        </w:rPr>
        <w:t>The presidents of the Alabama Community College System colleges shall adopt similar policies to ensure that their institutions are free from such undue influence.</w:t>
      </w:r>
    </w:p>
    <w:p w14:paraId="49623A2E" w14:textId="77777777" w:rsidR="008927E9" w:rsidRPr="00B661AF" w:rsidRDefault="008927E9">
      <w:pPr>
        <w:pStyle w:val="BodyText"/>
        <w:spacing w:before="69" w:line="246" w:lineRule="auto"/>
        <w:ind w:left="100" w:right="194"/>
        <w:jc w:val="both"/>
        <w:rPr>
          <w:spacing w:val="-1"/>
        </w:rPr>
      </w:pPr>
    </w:p>
    <w:p w14:paraId="585EC8C2" w14:textId="77777777" w:rsidR="0082395A" w:rsidRPr="00B661AF" w:rsidRDefault="0082395A">
      <w:pPr>
        <w:pStyle w:val="BodyText"/>
        <w:spacing w:before="69" w:line="246" w:lineRule="auto"/>
        <w:ind w:left="100" w:right="194"/>
        <w:jc w:val="both"/>
        <w:rPr>
          <w:spacing w:val="-1"/>
        </w:rPr>
      </w:pPr>
    </w:p>
    <w:p w14:paraId="47489058" w14:textId="77777777" w:rsidR="0082395A" w:rsidRPr="00B661AF" w:rsidRDefault="0082395A" w:rsidP="0082395A">
      <w:pPr>
        <w:tabs>
          <w:tab w:val="left" w:pos="-1440"/>
        </w:tabs>
        <w:ind w:right="90"/>
        <w:jc w:val="both"/>
        <w:rPr>
          <w:rFonts w:ascii="Times New Roman" w:hAnsi="Times New Roman" w:cs="Times New Roman"/>
        </w:rPr>
      </w:pPr>
    </w:p>
    <w:p w14:paraId="45D65FF4" w14:textId="77777777" w:rsidR="0082395A" w:rsidRPr="00B661AF" w:rsidRDefault="0082395A">
      <w:pPr>
        <w:pStyle w:val="BodyText"/>
        <w:spacing w:before="69" w:line="246" w:lineRule="auto"/>
        <w:ind w:left="100" w:right="194"/>
        <w:jc w:val="both"/>
        <w:rPr>
          <w:rFonts w:cs="Times New Roman"/>
        </w:rPr>
      </w:pPr>
    </w:p>
    <w:sectPr w:rsidR="0082395A" w:rsidRPr="00B661AF">
      <w:pgSz w:w="12240" w:h="15840"/>
      <w:pgMar w:top="138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D169A"/>
    <w:multiLevelType w:val="hybridMultilevel"/>
    <w:tmpl w:val="8CD68306"/>
    <w:lvl w:ilvl="0" w:tplc="F21E1D74">
      <w:start w:val="1"/>
      <w:numFmt w:val="decimal"/>
      <w:lvlText w:val="%1."/>
      <w:lvlJc w:val="left"/>
      <w:pPr>
        <w:ind w:left="940" w:hanging="720"/>
        <w:jc w:val="left"/>
      </w:pPr>
      <w:rPr>
        <w:rFonts w:ascii="Times New Roman" w:eastAsia="Times New Roman" w:hAnsi="Times New Roman" w:hint="default"/>
        <w:sz w:val="24"/>
        <w:szCs w:val="24"/>
      </w:rPr>
    </w:lvl>
    <w:lvl w:ilvl="1" w:tplc="44C0F160">
      <w:start w:val="1"/>
      <w:numFmt w:val="decimal"/>
      <w:lvlText w:val="%2."/>
      <w:lvlJc w:val="left"/>
      <w:pPr>
        <w:ind w:left="940" w:hanging="449"/>
        <w:jc w:val="left"/>
      </w:pPr>
      <w:rPr>
        <w:rFonts w:ascii="Times New Roman" w:eastAsia="Times New Roman" w:hAnsi="Times New Roman" w:hint="default"/>
        <w:sz w:val="24"/>
        <w:szCs w:val="24"/>
      </w:rPr>
    </w:lvl>
    <w:lvl w:ilvl="2" w:tplc="71EE4272">
      <w:start w:val="1"/>
      <w:numFmt w:val="lowerLetter"/>
      <w:lvlText w:val="%3."/>
      <w:lvlJc w:val="left"/>
      <w:pPr>
        <w:ind w:left="1660" w:hanging="449"/>
        <w:jc w:val="left"/>
      </w:pPr>
      <w:rPr>
        <w:rFonts w:ascii="Times New Roman" w:eastAsia="Times New Roman" w:hAnsi="Times New Roman" w:hint="default"/>
        <w:spacing w:val="-1"/>
        <w:sz w:val="24"/>
        <w:szCs w:val="24"/>
      </w:rPr>
    </w:lvl>
    <w:lvl w:ilvl="3" w:tplc="84F8A0A0">
      <w:start w:val="1"/>
      <w:numFmt w:val="bullet"/>
      <w:lvlText w:val="•"/>
      <w:lvlJc w:val="left"/>
      <w:pPr>
        <w:ind w:left="1660" w:hanging="449"/>
      </w:pPr>
      <w:rPr>
        <w:rFonts w:hint="default"/>
      </w:rPr>
    </w:lvl>
    <w:lvl w:ilvl="4" w:tplc="8892ED14">
      <w:start w:val="1"/>
      <w:numFmt w:val="bullet"/>
      <w:lvlText w:val="•"/>
      <w:lvlJc w:val="left"/>
      <w:pPr>
        <w:ind w:left="2860" w:hanging="449"/>
      </w:pPr>
      <w:rPr>
        <w:rFonts w:hint="default"/>
      </w:rPr>
    </w:lvl>
    <w:lvl w:ilvl="5" w:tplc="B8BA4EA6">
      <w:start w:val="1"/>
      <w:numFmt w:val="bullet"/>
      <w:lvlText w:val="•"/>
      <w:lvlJc w:val="left"/>
      <w:pPr>
        <w:ind w:left="4060" w:hanging="449"/>
      </w:pPr>
      <w:rPr>
        <w:rFonts w:hint="default"/>
      </w:rPr>
    </w:lvl>
    <w:lvl w:ilvl="6" w:tplc="9AE6DC08">
      <w:start w:val="1"/>
      <w:numFmt w:val="bullet"/>
      <w:lvlText w:val="•"/>
      <w:lvlJc w:val="left"/>
      <w:pPr>
        <w:ind w:left="5260" w:hanging="449"/>
      </w:pPr>
      <w:rPr>
        <w:rFonts w:hint="default"/>
      </w:rPr>
    </w:lvl>
    <w:lvl w:ilvl="7" w:tplc="C6A8B5F6">
      <w:start w:val="1"/>
      <w:numFmt w:val="bullet"/>
      <w:lvlText w:val="•"/>
      <w:lvlJc w:val="left"/>
      <w:pPr>
        <w:ind w:left="6460" w:hanging="449"/>
      </w:pPr>
      <w:rPr>
        <w:rFonts w:hint="default"/>
      </w:rPr>
    </w:lvl>
    <w:lvl w:ilvl="8" w:tplc="5442C7B2">
      <w:start w:val="1"/>
      <w:numFmt w:val="bullet"/>
      <w:lvlText w:val="•"/>
      <w:lvlJc w:val="left"/>
      <w:pPr>
        <w:ind w:left="7660" w:hanging="449"/>
      </w:pPr>
      <w:rPr>
        <w:rFonts w:hint="default"/>
      </w:rPr>
    </w:lvl>
  </w:abstractNum>
  <w:abstractNum w:abstractNumId="1" w15:restartNumberingAfterBreak="0">
    <w:nsid w:val="05A11D4F"/>
    <w:multiLevelType w:val="hybridMultilevel"/>
    <w:tmpl w:val="C7E4185C"/>
    <w:lvl w:ilvl="0" w:tplc="D7324998">
      <w:start w:val="1"/>
      <w:numFmt w:val="decimal"/>
      <w:lvlText w:val="%1."/>
      <w:lvlJc w:val="left"/>
      <w:pPr>
        <w:ind w:left="580" w:hanging="360"/>
      </w:pPr>
      <w:rPr>
        <w:rFonts w:cstheme="minorBidi"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57F10F64"/>
    <w:multiLevelType w:val="hybridMultilevel"/>
    <w:tmpl w:val="2F4AA774"/>
    <w:lvl w:ilvl="0" w:tplc="9B767E9E">
      <w:start w:val="1"/>
      <w:numFmt w:val="decimal"/>
      <w:lvlText w:val="%1."/>
      <w:lvlJc w:val="left"/>
      <w:pPr>
        <w:ind w:left="940" w:hanging="720"/>
        <w:jc w:val="left"/>
      </w:pPr>
      <w:rPr>
        <w:rFonts w:ascii="Times New Roman" w:eastAsia="Times New Roman" w:hAnsi="Times New Roman" w:hint="default"/>
        <w:sz w:val="24"/>
        <w:szCs w:val="24"/>
      </w:rPr>
    </w:lvl>
    <w:lvl w:ilvl="1" w:tplc="128E49FE">
      <w:start w:val="1"/>
      <w:numFmt w:val="decimal"/>
      <w:lvlText w:val="(%2)"/>
      <w:lvlJc w:val="left"/>
      <w:pPr>
        <w:ind w:left="820" w:hanging="360"/>
        <w:jc w:val="left"/>
      </w:pPr>
      <w:rPr>
        <w:rFonts w:ascii="Times New Roman" w:eastAsia="Times New Roman" w:hAnsi="Times New Roman" w:hint="default"/>
        <w:spacing w:val="-1"/>
        <w:sz w:val="24"/>
        <w:szCs w:val="24"/>
      </w:rPr>
    </w:lvl>
    <w:lvl w:ilvl="2" w:tplc="07C46BA4">
      <w:start w:val="1"/>
      <w:numFmt w:val="bullet"/>
      <w:lvlText w:val="•"/>
      <w:lvlJc w:val="left"/>
      <w:pPr>
        <w:ind w:left="1908" w:hanging="360"/>
      </w:pPr>
      <w:rPr>
        <w:rFonts w:hint="default"/>
      </w:rPr>
    </w:lvl>
    <w:lvl w:ilvl="3" w:tplc="E9D4098E">
      <w:start w:val="1"/>
      <w:numFmt w:val="bullet"/>
      <w:lvlText w:val="•"/>
      <w:lvlJc w:val="left"/>
      <w:pPr>
        <w:ind w:left="2877" w:hanging="360"/>
      </w:pPr>
      <w:rPr>
        <w:rFonts w:hint="default"/>
      </w:rPr>
    </w:lvl>
    <w:lvl w:ilvl="4" w:tplc="FF5C394E">
      <w:start w:val="1"/>
      <w:numFmt w:val="bullet"/>
      <w:lvlText w:val="•"/>
      <w:lvlJc w:val="left"/>
      <w:pPr>
        <w:ind w:left="3846" w:hanging="360"/>
      </w:pPr>
      <w:rPr>
        <w:rFonts w:hint="default"/>
      </w:rPr>
    </w:lvl>
    <w:lvl w:ilvl="5" w:tplc="B97421DC">
      <w:start w:val="1"/>
      <w:numFmt w:val="bullet"/>
      <w:lvlText w:val="•"/>
      <w:lvlJc w:val="left"/>
      <w:pPr>
        <w:ind w:left="4815" w:hanging="360"/>
      </w:pPr>
      <w:rPr>
        <w:rFonts w:hint="default"/>
      </w:rPr>
    </w:lvl>
    <w:lvl w:ilvl="6" w:tplc="4C6A1314">
      <w:start w:val="1"/>
      <w:numFmt w:val="bullet"/>
      <w:lvlText w:val="•"/>
      <w:lvlJc w:val="left"/>
      <w:pPr>
        <w:ind w:left="5784" w:hanging="360"/>
      </w:pPr>
      <w:rPr>
        <w:rFonts w:hint="default"/>
      </w:rPr>
    </w:lvl>
    <w:lvl w:ilvl="7" w:tplc="35F8D518">
      <w:start w:val="1"/>
      <w:numFmt w:val="bullet"/>
      <w:lvlText w:val="•"/>
      <w:lvlJc w:val="left"/>
      <w:pPr>
        <w:ind w:left="6753" w:hanging="360"/>
      </w:pPr>
      <w:rPr>
        <w:rFonts w:hint="default"/>
      </w:rPr>
    </w:lvl>
    <w:lvl w:ilvl="8" w:tplc="71B213C0">
      <w:start w:val="1"/>
      <w:numFmt w:val="bullet"/>
      <w:lvlText w:val="•"/>
      <w:lvlJc w:val="left"/>
      <w:pPr>
        <w:ind w:left="7722" w:hanging="360"/>
      </w:pPr>
      <w:rPr>
        <w:rFonts w:hint="default"/>
      </w:rPr>
    </w:lvl>
  </w:abstractNum>
  <w:abstractNum w:abstractNumId="3" w15:restartNumberingAfterBreak="0">
    <w:nsid w:val="6B156295"/>
    <w:multiLevelType w:val="hybridMultilevel"/>
    <w:tmpl w:val="2F4AA774"/>
    <w:lvl w:ilvl="0" w:tplc="9B767E9E">
      <w:start w:val="1"/>
      <w:numFmt w:val="decimal"/>
      <w:lvlText w:val="%1."/>
      <w:lvlJc w:val="left"/>
      <w:pPr>
        <w:ind w:left="940" w:hanging="720"/>
        <w:jc w:val="left"/>
      </w:pPr>
      <w:rPr>
        <w:rFonts w:ascii="Times New Roman" w:eastAsia="Times New Roman" w:hAnsi="Times New Roman" w:hint="default"/>
        <w:sz w:val="24"/>
        <w:szCs w:val="24"/>
      </w:rPr>
    </w:lvl>
    <w:lvl w:ilvl="1" w:tplc="128E49FE">
      <w:start w:val="1"/>
      <w:numFmt w:val="decimal"/>
      <w:lvlText w:val="(%2)"/>
      <w:lvlJc w:val="left"/>
      <w:pPr>
        <w:ind w:left="820" w:hanging="360"/>
        <w:jc w:val="left"/>
      </w:pPr>
      <w:rPr>
        <w:rFonts w:ascii="Times New Roman" w:eastAsia="Times New Roman" w:hAnsi="Times New Roman" w:hint="default"/>
        <w:spacing w:val="-1"/>
        <w:sz w:val="24"/>
        <w:szCs w:val="24"/>
      </w:rPr>
    </w:lvl>
    <w:lvl w:ilvl="2" w:tplc="07C46BA4">
      <w:start w:val="1"/>
      <w:numFmt w:val="bullet"/>
      <w:lvlText w:val="•"/>
      <w:lvlJc w:val="left"/>
      <w:pPr>
        <w:ind w:left="1908" w:hanging="360"/>
      </w:pPr>
      <w:rPr>
        <w:rFonts w:hint="default"/>
      </w:rPr>
    </w:lvl>
    <w:lvl w:ilvl="3" w:tplc="E9D4098E">
      <w:start w:val="1"/>
      <w:numFmt w:val="bullet"/>
      <w:lvlText w:val="•"/>
      <w:lvlJc w:val="left"/>
      <w:pPr>
        <w:ind w:left="2877" w:hanging="360"/>
      </w:pPr>
      <w:rPr>
        <w:rFonts w:hint="default"/>
      </w:rPr>
    </w:lvl>
    <w:lvl w:ilvl="4" w:tplc="FF5C394E">
      <w:start w:val="1"/>
      <w:numFmt w:val="bullet"/>
      <w:lvlText w:val="•"/>
      <w:lvlJc w:val="left"/>
      <w:pPr>
        <w:ind w:left="3846" w:hanging="360"/>
      </w:pPr>
      <w:rPr>
        <w:rFonts w:hint="default"/>
      </w:rPr>
    </w:lvl>
    <w:lvl w:ilvl="5" w:tplc="B97421DC">
      <w:start w:val="1"/>
      <w:numFmt w:val="bullet"/>
      <w:lvlText w:val="•"/>
      <w:lvlJc w:val="left"/>
      <w:pPr>
        <w:ind w:left="4815" w:hanging="360"/>
      </w:pPr>
      <w:rPr>
        <w:rFonts w:hint="default"/>
      </w:rPr>
    </w:lvl>
    <w:lvl w:ilvl="6" w:tplc="4C6A1314">
      <w:start w:val="1"/>
      <w:numFmt w:val="bullet"/>
      <w:lvlText w:val="•"/>
      <w:lvlJc w:val="left"/>
      <w:pPr>
        <w:ind w:left="5784" w:hanging="360"/>
      </w:pPr>
      <w:rPr>
        <w:rFonts w:hint="default"/>
      </w:rPr>
    </w:lvl>
    <w:lvl w:ilvl="7" w:tplc="35F8D518">
      <w:start w:val="1"/>
      <w:numFmt w:val="bullet"/>
      <w:lvlText w:val="•"/>
      <w:lvlJc w:val="left"/>
      <w:pPr>
        <w:ind w:left="6753" w:hanging="360"/>
      </w:pPr>
      <w:rPr>
        <w:rFonts w:hint="default"/>
      </w:rPr>
    </w:lvl>
    <w:lvl w:ilvl="8" w:tplc="71B213C0">
      <w:start w:val="1"/>
      <w:numFmt w:val="bullet"/>
      <w:lvlText w:val="•"/>
      <w:lvlJc w:val="left"/>
      <w:pPr>
        <w:ind w:left="7722"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93"/>
    <w:rsid w:val="00016D82"/>
    <w:rsid w:val="00031705"/>
    <w:rsid w:val="00060B93"/>
    <w:rsid w:val="0014026C"/>
    <w:rsid w:val="001A3493"/>
    <w:rsid w:val="0029476D"/>
    <w:rsid w:val="002C06A6"/>
    <w:rsid w:val="002D78CF"/>
    <w:rsid w:val="004D787F"/>
    <w:rsid w:val="0051254F"/>
    <w:rsid w:val="005138FB"/>
    <w:rsid w:val="005F790D"/>
    <w:rsid w:val="006945FA"/>
    <w:rsid w:val="006A0B6B"/>
    <w:rsid w:val="006C0E2B"/>
    <w:rsid w:val="00727C27"/>
    <w:rsid w:val="00730D7B"/>
    <w:rsid w:val="00744021"/>
    <w:rsid w:val="00760DC7"/>
    <w:rsid w:val="007D4127"/>
    <w:rsid w:val="0082395A"/>
    <w:rsid w:val="008927E9"/>
    <w:rsid w:val="008C3027"/>
    <w:rsid w:val="008D65C8"/>
    <w:rsid w:val="00925DA0"/>
    <w:rsid w:val="009B75B2"/>
    <w:rsid w:val="00A731FF"/>
    <w:rsid w:val="00B3697D"/>
    <w:rsid w:val="00B54937"/>
    <w:rsid w:val="00B661AF"/>
    <w:rsid w:val="00BC059D"/>
    <w:rsid w:val="00CE54BF"/>
    <w:rsid w:val="00D746D1"/>
    <w:rsid w:val="00DE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CE6F"/>
  <w15:docId w15:val="{1FF09B76-5391-4FE7-A794-D17CBDB3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4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D1"/>
    <w:rPr>
      <w:rFonts w:ascii="Segoe UI" w:hAnsi="Segoe UI" w:cs="Segoe UI"/>
      <w:sz w:val="18"/>
      <w:szCs w:val="18"/>
    </w:rPr>
  </w:style>
  <w:style w:type="character" w:styleId="Hyperlink">
    <w:name w:val="Hyperlink"/>
    <w:basedOn w:val="DefaultParagraphFont"/>
    <w:uiPriority w:val="99"/>
    <w:unhideWhenUsed/>
    <w:rsid w:val="005138FB"/>
    <w:rPr>
      <w:color w:val="0000FF" w:themeColor="hyperlink"/>
      <w:u w:val="single"/>
    </w:rPr>
  </w:style>
  <w:style w:type="character" w:styleId="UnresolvedMention">
    <w:name w:val="Unresolved Mention"/>
    <w:basedOn w:val="DefaultParagraphFont"/>
    <w:uiPriority w:val="99"/>
    <w:semiHidden/>
    <w:unhideWhenUsed/>
    <w:rsid w:val="00513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892">
      <w:bodyDiv w:val="1"/>
      <w:marLeft w:val="0"/>
      <w:marRight w:val="0"/>
      <w:marTop w:val="0"/>
      <w:marBottom w:val="0"/>
      <w:divBdr>
        <w:top w:val="none" w:sz="0" w:space="0" w:color="auto"/>
        <w:left w:val="none" w:sz="0" w:space="0" w:color="auto"/>
        <w:bottom w:val="none" w:sz="0" w:space="0" w:color="auto"/>
        <w:right w:val="none" w:sz="0" w:space="0" w:color="auto"/>
      </w:divBdr>
    </w:div>
    <w:div w:id="426195268">
      <w:bodyDiv w:val="1"/>
      <w:marLeft w:val="0"/>
      <w:marRight w:val="0"/>
      <w:marTop w:val="0"/>
      <w:marBottom w:val="0"/>
      <w:divBdr>
        <w:top w:val="none" w:sz="0" w:space="0" w:color="auto"/>
        <w:left w:val="none" w:sz="0" w:space="0" w:color="auto"/>
        <w:bottom w:val="none" w:sz="0" w:space="0" w:color="auto"/>
        <w:right w:val="none" w:sz="0" w:space="0" w:color="auto"/>
      </w:divBdr>
    </w:div>
    <w:div w:id="484012538">
      <w:bodyDiv w:val="1"/>
      <w:marLeft w:val="0"/>
      <w:marRight w:val="0"/>
      <w:marTop w:val="0"/>
      <w:marBottom w:val="0"/>
      <w:divBdr>
        <w:top w:val="none" w:sz="0" w:space="0" w:color="auto"/>
        <w:left w:val="none" w:sz="0" w:space="0" w:color="auto"/>
        <w:bottom w:val="none" w:sz="0" w:space="0" w:color="auto"/>
        <w:right w:val="none" w:sz="0" w:space="0" w:color="auto"/>
      </w:divBdr>
    </w:div>
    <w:div w:id="722604104">
      <w:bodyDiv w:val="1"/>
      <w:marLeft w:val="0"/>
      <w:marRight w:val="0"/>
      <w:marTop w:val="0"/>
      <w:marBottom w:val="0"/>
      <w:divBdr>
        <w:top w:val="none" w:sz="0" w:space="0" w:color="auto"/>
        <w:left w:val="none" w:sz="0" w:space="0" w:color="auto"/>
        <w:bottom w:val="none" w:sz="0" w:space="0" w:color="auto"/>
        <w:right w:val="none" w:sz="0" w:space="0" w:color="auto"/>
      </w:divBdr>
    </w:div>
    <w:div w:id="965966398">
      <w:bodyDiv w:val="1"/>
      <w:marLeft w:val="0"/>
      <w:marRight w:val="0"/>
      <w:marTop w:val="0"/>
      <w:marBottom w:val="0"/>
      <w:divBdr>
        <w:top w:val="none" w:sz="0" w:space="0" w:color="auto"/>
        <w:left w:val="none" w:sz="0" w:space="0" w:color="auto"/>
        <w:bottom w:val="none" w:sz="0" w:space="0" w:color="auto"/>
        <w:right w:val="none" w:sz="0" w:space="0" w:color="auto"/>
      </w:divBdr>
    </w:div>
    <w:div w:id="1392343886">
      <w:bodyDiv w:val="1"/>
      <w:marLeft w:val="0"/>
      <w:marRight w:val="0"/>
      <w:marTop w:val="0"/>
      <w:marBottom w:val="0"/>
      <w:divBdr>
        <w:top w:val="none" w:sz="0" w:space="0" w:color="auto"/>
        <w:left w:val="none" w:sz="0" w:space="0" w:color="auto"/>
        <w:bottom w:val="none" w:sz="0" w:space="0" w:color="auto"/>
        <w:right w:val="none" w:sz="0" w:space="0" w:color="auto"/>
      </w:divBdr>
    </w:div>
    <w:div w:id="1399017424">
      <w:bodyDiv w:val="1"/>
      <w:marLeft w:val="0"/>
      <w:marRight w:val="0"/>
      <w:marTop w:val="0"/>
      <w:marBottom w:val="0"/>
      <w:divBdr>
        <w:top w:val="none" w:sz="0" w:space="0" w:color="auto"/>
        <w:left w:val="none" w:sz="0" w:space="0" w:color="auto"/>
        <w:bottom w:val="none" w:sz="0" w:space="0" w:color="auto"/>
        <w:right w:val="none" w:sz="0" w:space="0" w:color="auto"/>
      </w:divBdr>
    </w:div>
    <w:div w:id="1930233259">
      <w:bodyDiv w:val="1"/>
      <w:marLeft w:val="0"/>
      <w:marRight w:val="0"/>
      <w:marTop w:val="0"/>
      <w:marBottom w:val="0"/>
      <w:divBdr>
        <w:top w:val="none" w:sz="0" w:space="0" w:color="auto"/>
        <w:left w:val="none" w:sz="0" w:space="0" w:color="auto"/>
        <w:bottom w:val="none" w:sz="0" w:space="0" w:color="auto"/>
        <w:right w:val="none" w:sz="0" w:space="0" w:color="auto"/>
      </w:divBdr>
    </w:div>
    <w:div w:id="2074964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des.findlaw.com/al/title-16-education/al-code-sect-16-60-1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Alabama College System</dc:creator>
  <cp:lastModifiedBy>Sarah Owes</cp:lastModifiedBy>
  <cp:revision>3</cp:revision>
  <cp:lastPrinted>2021-03-08T16:58:00Z</cp:lastPrinted>
  <dcterms:created xsi:type="dcterms:W3CDTF">2021-02-25T18:11:00Z</dcterms:created>
  <dcterms:modified xsi:type="dcterms:W3CDTF">2021-03-08T16:58:00Z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LastSaved">
    <vt:filetime>2016-03-07T00:00:00Z</vt:filetime>
  </property>
</Properties>
</file>