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E803" w14:textId="77777777" w:rsidR="00EA6A56" w:rsidRDefault="00EA6A56">
      <w:pPr>
        <w:spacing w:before="10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EA6A56" w14:paraId="46496CF7" w14:textId="77777777">
        <w:trPr>
          <w:trHeight w:hRule="exact" w:val="307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5BA78" w14:textId="77777777" w:rsidR="00EA6A56" w:rsidRDefault="00371452">
            <w:pPr>
              <w:spacing w:after="5" w:line="283" w:lineRule="exact"/>
              <w:ind w:left="120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POLICY NAME: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F5F56" w14:textId="77777777" w:rsidR="00EA6A56" w:rsidRDefault="00371452">
            <w:pPr>
              <w:spacing w:before="48" w:line="258" w:lineRule="exact"/>
              <w:ind w:left="120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500.01: Use of College Facilities</w:t>
            </w:r>
          </w:p>
        </w:tc>
      </w:tr>
      <w:tr w:rsidR="00EA6A56" w14:paraId="5117613F" w14:textId="77777777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609FD" w14:textId="77777777" w:rsidR="00EA6A56" w:rsidRDefault="00371452">
            <w:pPr>
              <w:spacing w:after="14" w:line="273" w:lineRule="exact"/>
              <w:ind w:left="120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EFFECTIVE: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9E29C" w14:textId="06A40429" w:rsidR="00EA6A56" w:rsidRDefault="008C4B0D">
            <w:pPr>
              <w:spacing w:after="9" w:line="278" w:lineRule="exact"/>
              <w:ind w:left="120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May 8, 2024</w:t>
            </w:r>
          </w:p>
        </w:tc>
      </w:tr>
      <w:tr w:rsidR="00EA6A56" w14:paraId="224E7CA2" w14:textId="77777777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A148" w14:textId="77777777" w:rsidR="00EA6A56" w:rsidRDefault="00371452">
            <w:pPr>
              <w:spacing w:after="5" w:line="268" w:lineRule="exact"/>
              <w:ind w:left="120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SUPERSEDES: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F025" w14:textId="77777777" w:rsidR="00EA6A56" w:rsidRDefault="0037145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EA6A56" w14:paraId="139B534D" w14:textId="77777777">
        <w:trPr>
          <w:trHeight w:hRule="exact" w:val="26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00761" w14:textId="77777777" w:rsidR="00EA6A56" w:rsidRDefault="00371452">
            <w:pPr>
              <w:spacing w:line="252" w:lineRule="exact"/>
              <w:ind w:left="120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SOURCE: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7D460" w14:textId="77777777" w:rsidR="00EA6A56" w:rsidRDefault="00000000">
            <w:pPr>
              <w:spacing w:line="242" w:lineRule="exact"/>
              <w:ind w:left="120"/>
              <w:textAlignment w:val="baseline"/>
              <w:rPr>
                <w:rFonts w:eastAsia="Times New Roman"/>
                <w:i/>
                <w:color w:val="0462C1"/>
                <w:sz w:val="23"/>
              </w:rPr>
            </w:pPr>
            <w:hyperlink r:id="rId6">
              <w:r w:rsidR="00371452">
                <w:rPr>
                  <w:rFonts w:eastAsia="Times New Roman"/>
                  <w:i/>
                  <w:color w:val="0000FF"/>
                  <w:sz w:val="23"/>
                  <w:u w:val="single"/>
                </w:rPr>
                <w:t>Code of Alabama 16-60-111.4</w:t>
              </w:r>
            </w:hyperlink>
            <w:hyperlink r:id="rId7">
              <w:r w:rsidR="00371452">
                <w:rPr>
                  <w:rFonts w:eastAsia="Times New Roman"/>
                  <w:i/>
                  <w:color w:val="0000FF"/>
                  <w:sz w:val="23"/>
                  <w:u w:val="single"/>
                </w:rPr>
                <w:t xml:space="preserve"> </w:t>
              </w:r>
            </w:hyperlink>
            <w:r w:rsidR="00371452">
              <w:rPr>
                <w:rFonts w:eastAsia="Times New Roman"/>
                <w:i/>
                <w:color w:val="000000"/>
                <w:sz w:val="23"/>
              </w:rPr>
              <w:t>and</w:t>
            </w:r>
            <w:hyperlink r:id="rId8">
              <w:r w:rsidR="00371452">
                <w:rPr>
                  <w:rFonts w:eastAsia="Times New Roman"/>
                  <w:i/>
                  <w:color w:val="0000FF"/>
                  <w:sz w:val="23"/>
                  <w:u w:val="single"/>
                </w:rPr>
                <w:t xml:space="preserve"> 16-60-111.10</w:t>
              </w:r>
            </w:hyperlink>
            <w:r w:rsidR="00371452">
              <w:rPr>
                <w:rFonts w:eastAsia="Times New Roman"/>
                <w:i/>
                <w:color w:val="0462C1"/>
                <w:sz w:val="23"/>
              </w:rPr>
              <w:t xml:space="preserve"> </w:t>
            </w:r>
          </w:p>
        </w:tc>
      </w:tr>
      <w:tr w:rsidR="00EA6A56" w14:paraId="1F872976" w14:textId="77777777">
        <w:trPr>
          <w:trHeight w:hRule="exact" w:val="331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75E14" w14:textId="77777777" w:rsidR="00EA6A56" w:rsidRDefault="00371452">
            <w:pPr>
              <w:spacing w:after="19" w:line="283" w:lineRule="exact"/>
              <w:ind w:left="120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CROSS REFERENCE: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0C72" w14:textId="77777777" w:rsidR="00EA6A56" w:rsidRDefault="0037145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1F4E689D" w14:textId="77777777" w:rsidR="00EA6A56" w:rsidRDefault="00EA6A56">
      <w:pPr>
        <w:spacing w:after="179" w:line="20" w:lineRule="exact"/>
      </w:pPr>
    </w:p>
    <w:p w14:paraId="1E101339" w14:textId="77777777" w:rsidR="00EA6A56" w:rsidRDefault="00371452">
      <w:pPr>
        <w:spacing w:line="276" w:lineRule="exact"/>
        <w:ind w:right="50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The Board may acquire and hold real property and may lease, rent, </w:t>
      </w:r>
      <w:proofErr w:type="gramStart"/>
      <w:r>
        <w:rPr>
          <w:rFonts w:eastAsia="Times New Roman"/>
          <w:color w:val="000000"/>
          <w:sz w:val="24"/>
        </w:rPr>
        <w:t>convey</w:t>
      </w:r>
      <w:proofErr w:type="gramEnd"/>
      <w:r>
        <w:rPr>
          <w:rFonts w:eastAsia="Times New Roman"/>
          <w:color w:val="000000"/>
          <w:sz w:val="24"/>
        </w:rPr>
        <w:t xml:space="preserve"> and dispose of real property under its control as may be for the best interest of the community and technical colleges.</w:t>
      </w:r>
    </w:p>
    <w:p w14:paraId="03E67D61" w14:textId="77777777" w:rsidR="00EA6A56" w:rsidRDefault="00371452">
      <w:pPr>
        <w:spacing w:before="280" w:line="276" w:lineRule="exact"/>
        <w:ind w:right="72"/>
        <w:jc w:val="both"/>
        <w:textAlignment w:val="baseline"/>
        <w:rPr>
          <w:rFonts w:eastAsia="Times New Roman"/>
          <w:color w:val="000000"/>
          <w:spacing w:val="3"/>
          <w:sz w:val="24"/>
        </w:rPr>
      </w:pPr>
      <w:r>
        <w:rPr>
          <w:rFonts w:eastAsia="Times New Roman"/>
          <w:color w:val="000000"/>
          <w:spacing w:val="3"/>
          <w:sz w:val="24"/>
        </w:rPr>
        <w:t>The use of community or technical college facilities and/or grounds shall be compatible with the mission, philosophy, functions, and objectives of the Alabama Community College System.</w:t>
      </w:r>
    </w:p>
    <w:sectPr w:rsidR="00EA6A56">
      <w:pgSz w:w="12173" w:h="15883"/>
      <w:pgMar w:top="1420" w:right="1517" w:bottom="7387" w:left="1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BAA4" w14:textId="77777777" w:rsidR="00150902" w:rsidRDefault="00150902">
      <w:r>
        <w:separator/>
      </w:r>
    </w:p>
  </w:endnote>
  <w:endnote w:type="continuationSeparator" w:id="0">
    <w:p w14:paraId="733F0647" w14:textId="77777777" w:rsidR="00150902" w:rsidRDefault="0015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21283" w14:textId="77777777" w:rsidR="00150902" w:rsidRDefault="00150902"/>
  </w:footnote>
  <w:footnote w:type="continuationSeparator" w:id="0">
    <w:p w14:paraId="0EF2E7BF" w14:textId="77777777" w:rsidR="00150902" w:rsidRDefault="0015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56"/>
    <w:rsid w:val="00026CBB"/>
    <w:rsid w:val="00150902"/>
    <w:rsid w:val="00371452"/>
    <w:rsid w:val="006E498D"/>
    <w:rsid w:val="00870F8E"/>
    <w:rsid w:val="008C4B0D"/>
    <w:rsid w:val="0095350E"/>
    <w:rsid w:val="00EA6A56"/>
    <w:rsid w:val="00EE286B"/>
    <w:rsid w:val="00F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D369"/>
  <w15:docId w15:val="{0CE8A159-DEE6-4CA2-B8B5-CDAE5A8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findlaw.com/al/title-16-education/al-code-sect-16-60-111-1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des.findlaw.com/al/title-16-education/al-code-sect-16-60-111-4.html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es.findlaw.com/al/title-16-education/al-code-sect-16-60-111-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Sarah Owes</cp:lastModifiedBy>
  <cp:revision>2</cp:revision>
  <dcterms:created xsi:type="dcterms:W3CDTF">2024-05-09T18:19:00Z</dcterms:created>
  <dcterms:modified xsi:type="dcterms:W3CDTF">2024-05-09T18:19:00Z</dcterms:modified>
</cp:coreProperties>
</file>